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23696CCE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47347F">
        <w:rPr>
          <w:rFonts w:ascii="Arial" w:hAnsi="Arial" w:cs="Arial"/>
        </w:rPr>
        <w:t>30</w:t>
      </w:r>
      <w:r w:rsidR="007421B9">
        <w:rPr>
          <w:rFonts w:ascii="Arial" w:hAnsi="Arial" w:cs="Arial"/>
        </w:rPr>
        <w:t>.</w:t>
      </w:r>
      <w:r w:rsidR="009B51DB">
        <w:rPr>
          <w:rFonts w:ascii="Arial" w:hAnsi="Arial" w:cs="Arial"/>
        </w:rPr>
        <w:t>01.2023</w:t>
      </w:r>
    </w:p>
    <w:p w14:paraId="3C4EBA2D" w14:textId="6470B74E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9B51DB">
        <w:rPr>
          <w:rFonts w:ascii="Arial" w:hAnsi="Arial" w:cs="Arial"/>
        </w:rPr>
        <w:t>SÚSP</w:t>
      </w:r>
      <w:r w:rsidR="0047347F">
        <w:rPr>
          <w:rFonts w:ascii="Arial" w:hAnsi="Arial" w:cs="Arial"/>
        </w:rPr>
        <w:t>K/804/2023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05E9EF0C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r w:rsidR="006C0B75">
        <w:rPr>
          <w:rFonts w:ascii="Arial" w:hAnsi="Arial" w:cs="Arial"/>
          <w:b/>
          <w:bCs/>
          <w:color w:val="000000"/>
        </w:rPr>
        <w:t xml:space="preserve">Zpracování dat pro účely správy a údržby majetku z digitální technické </w:t>
      </w:r>
      <w:proofErr w:type="gramStart"/>
      <w:r w:rsidR="006C0B75">
        <w:rPr>
          <w:rFonts w:ascii="Arial" w:hAnsi="Arial" w:cs="Arial"/>
          <w:b/>
          <w:bCs/>
          <w:color w:val="000000"/>
        </w:rPr>
        <w:t>mapy - Modernizace</w:t>
      </w:r>
      <w:proofErr w:type="gramEnd"/>
      <w:r w:rsidR="006C0B75">
        <w:rPr>
          <w:rFonts w:ascii="Arial" w:hAnsi="Arial" w:cs="Arial"/>
          <w:b/>
          <w:bCs/>
          <w:color w:val="000000"/>
        </w:rPr>
        <w:t xml:space="preserve"> silnice II/360 Ústí nad Orlicí - Litomyšl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3D794D7B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9B51DB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9B51DB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 xml:space="preserve">, Mgr. Josef </w:t>
      </w:r>
      <w:proofErr w:type="gramStart"/>
      <w:r w:rsidRPr="003D3B86">
        <w:rPr>
          <w:rFonts w:cs="Arial"/>
          <w:i w:val="0"/>
          <w:iCs/>
          <w:szCs w:val="24"/>
        </w:rPr>
        <w:t>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proofErr w:type="gramEnd"/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9B51DB">
        <w:rPr>
          <w:rFonts w:cs="Arial"/>
          <w:i w:val="0"/>
          <w:iCs/>
          <w:szCs w:val="24"/>
        </w:rPr>
        <w:t xml:space="preserve">2.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29B72ED1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737DB9">
        <w:rPr>
          <w:rFonts w:ascii="Arial" w:hAnsi="Arial" w:cs="Arial"/>
        </w:rPr>
        <w:t>9</w:t>
      </w:r>
      <w:r w:rsidR="000E0650">
        <w:rPr>
          <w:rFonts w:ascii="Arial" w:hAnsi="Arial" w:cs="Arial"/>
        </w:rPr>
        <w:t>37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3AD60EEA" w14:textId="76292ACD" w:rsidR="008915E5" w:rsidRPr="008915E5" w:rsidRDefault="008915E5" w:rsidP="008915E5">
      <w:pPr>
        <w:jc w:val="both"/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Předmětem služeb je </w:t>
      </w:r>
      <w:r w:rsidR="006C0B75">
        <w:rPr>
          <w:rFonts w:ascii="Arial" w:hAnsi="Arial" w:cs="Arial"/>
        </w:rPr>
        <w:t>Technická pomoc – Zpracování dat pro účely správy a údržby majetku z digitální technické mapy</w:t>
      </w:r>
      <w:r w:rsidR="009B51DB">
        <w:rPr>
          <w:rFonts w:ascii="Arial" w:hAnsi="Arial" w:cs="Arial"/>
        </w:rPr>
        <w:t xml:space="preserve"> (DTM), stavba</w:t>
      </w:r>
      <w:r w:rsidR="006C0B75">
        <w:rPr>
          <w:rFonts w:ascii="Arial" w:hAnsi="Arial" w:cs="Arial"/>
        </w:rPr>
        <w:t xml:space="preserve"> </w:t>
      </w:r>
      <w:r w:rsidR="009B51DB">
        <w:rPr>
          <w:rFonts w:ascii="Arial" w:hAnsi="Arial" w:cs="Arial"/>
        </w:rPr>
        <w:t>„</w:t>
      </w:r>
      <w:r w:rsidR="006C0B75">
        <w:rPr>
          <w:rFonts w:ascii="Arial" w:hAnsi="Arial" w:cs="Arial"/>
        </w:rPr>
        <w:t xml:space="preserve">Modernizace silnice II/360 Ústí nad Orlicí </w:t>
      </w:r>
      <w:r w:rsidR="009B51DB">
        <w:rPr>
          <w:rFonts w:ascii="Arial" w:hAnsi="Arial" w:cs="Arial"/>
        </w:rPr>
        <w:t>–</w:t>
      </w:r>
      <w:r w:rsidR="006C0B75">
        <w:rPr>
          <w:rFonts w:ascii="Arial" w:hAnsi="Arial" w:cs="Arial"/>
        </w:rPr>
        <w:t xml:space="preserve"> Litomyšl</w:t>
      </w:r>
      <w:r w:rsidR="009B51DB">
        <w:rPr>
          <w:rFonts w:ascii="Arial" w:hAnsi="Arial" w:cs="Arial"/>
        </w:rPr>
        <w:t>“</w:t>
      </w:r>
      <w:r w:rsidRPr="008915E5">
        <w:rPr>
          <w:rFonts w:ascii="Arial" w:hAnsi="Arial" w:cs="Arial"/>
        </w:rPr>
        <w:t>.</w:t>
      </w:r>
    </w:p>
    <w:p w14:paraId="4106FC5A" w14:textId="77777777" w:rsidR="008915E5" w:rsidRPr="008915E5" w:rsidRDefault="008915E5" w:rsidP="008915E5">
      <w:pPr>
        <w:jc w:val="both"/>
        <w:rPr>
          <w:rFonts w:ascii="Arial" w:hAnsi="Arial" w:cs="Arial"/>
        </w:rPr>
      </w:pPr>
    </w:p>
    <w:p w14:paraId="69C58CC8" w14:textId="654B5365" w:rsidR="00F533D6" w:rsidRPr="00F533D6" w:rsidRDefault="00F533D6" w:rsidP="009B51DB">
      <w:pPr>
        <w:jc w:val="both"/>
        <w:rPr>
          <w:rFonts w:ascii="Arial" w:hAnsi="Arial" w:cs="Arial"/>
        </w:rPr>
      </w:pPr>
      <w:r w:rsidRPr="00F533D6">
        <w:rPr>
          <w:rFonts w:ascii="Arial" w:hAnsi="Arial" w:cs="Arial"/>
        </w:rPr>
        <w:t xml:space="preserve">Předmětem technické pomoci je extrakce dat z podkladů měřených pro účely digitálních technické mapy za účelem využití těchto dat pro správu a údržbu nemovitého majetku ve formě dopravní infrastruktury. </w:t>
      </w:r>
    </w:p>
    <w:p w14:paraId="5AB6C486" w14:textId="4F46CB29" w:rsidR="00F533D6" w:rsidRDefault="00F533D6" w:rsidP="009B51DB">
      <w:pPr>
        <w:jc w:val="both"/>
        <w:rPr>
          <w:rFonts w:ascii="Arial" w:hAnsi="Arial" w:cs="Arial"/>
        </w:rPr>
      </w:pPr>
      <w:r w:rsidRPr="00F533D6">
        <w:rPr>
          <w:rFonts w:ascii="Arial" w:hAnsi="Arial" w:cs="Arial"/>
        </w:rPr>
        <w:t>Digitální model stávajících staveb bude zpracován pro vybraný úsek pozemní komunikace</w:t>
      </w:r>
      <w:r w:rsidR="000E0650">
        <w:rPr>
          <w:rFonts w:ascii="Arial" w:hAnsi="Arial" w:cs="Arial"/>
        </w:rPr>
        <w:t xml:space="preserve"> stavby</w:t>
      </w:r>
      <w:r w:rsidR="00647977">
        <w:rPr>
          <w:rFonts w:ascii="Arial" w:hAnsi="Arial" w:cs="Arial"/>
        </w:rPr>
        <w:t xml:space="preserve"> </w:t>
      </w:r>
      <w:r w:rsidR="000E0650">
        <w:rPr>
          <w:rFonts w:ascii="Arial" w:hAnsi="Arial" w:cs="Arial"/>
        </w:rPr>
        <w:t>„</w:t>
      </w:r>
      <w:r w:rsidR="00647977" w:rsidRPr="00647977">
        <w:rPr>
          <w:rFonts w:ascii="Arial" w:hAnsi="Arial" w:cs="Arial"/>
        </w:rPr>
        <w:t xml:space="preserve">Modernizace silnice II/360 Ústí nad Orlicí </w:t>
      </w:r>
      <w:r w:rsidR="000E0650">
        <w:rPr>
          <w:rFonts w:ascii="Arial" w:hAnsi="Arial" w:cs="Arial"/>
        </w:rPr>
        <w:t>–</w:t>
      </w:r>
      <w:r w:rsidR="00647977" w:rsidRPr="00647977">
        <w:rPr>
          <w:rFonts w:ascii="Arial" w:hAnsi="Arial" w:cs="Arial"/>
        </w:rPr>
        <w:t xml:space="preserve"> Litomyšl</w:t>
      </w:r>
      <w:r w:rsidR="000E0650">
        <w:rPr>
          <w:rFonts w:ascii="Arial" w:hAnsi="Arial" w:cs="Arial"/>
        </w:rPr>
        <w:t>“</w:t>
      </w:r>
      <w:r w:rsidRPr="00F533D6">
        <w:rPr>
          <w:rFonts w:ascii="Arial" w:hAnsi="Arial" w:cs="Arial"/>
        </w:rPr>
        <w:t>. Kontrola a zpracování digitálních modelů staveb bude realizována prostřednictvím software, který lze použít pro přípravu grafické části digitálních modelů a naplnění této grafické části o negrafické informace. Digitální modely staveb budou zpracovávány v otevřeném datovém formátu IFC (*.</w:t>
      </w:r>
      <w:proofErr w:type="spellStart"/>
      <w:r w:rsidRPr="00F533D6">
        <w:rPr>
          <w:rFonts w:ascii="Arial" w:hAnsi="Arial" w:cs="Arial"/>
        </w:rPr>
        <w:t>ifc</w:t>
      </w:r>
      <w:proofErr w:type="spellEnd"/>
      <w:r w:rsidRPr="00F533D6">
        <w:rPr>
          <w:rFonts w:ascii="Arial" w:hAnsi="Arial" w:cs="Arial"/>
        </w:rPr>
        <w:t>).  Kontrola digitálních modelů staveb bude probíhat s ohledem na přesnosti, skupiny vlastností a naplněnost vlastností negrafickými informacemi.</w:t>
      </w:r>
    </w:p>
    <w:p w14:paraId="6793D16A" w14:textId="77777777" w:rsidR="00C4401E" w:rsidRPr="00F533D6" w:rsidRDefault="00C4401E" w:rsidP="00F533D6">
      <w:pPr>
        <w:rPr>
          <w:rFonts w:ascii="Arial" w:hAnsi="Arial" w:cs="Arial"/>
        </w:rPr>
      </w:pPr>
    </w:p>
    <w:p w14:paraId="309E29CA" w14:textId="77777777" w:rsidR="00F533D6" w:rsidRPr="00F533D6" w:rsidRDefault="00F533D6" w:rsidP="00F533D6">
      <w:pPr>
        <w:rPr>
          <w:rFonts w:ascii="Arial" w:hAnsi="Arial" w:cs="Arial"/>
        </w:rPr>
      </w:pPr>
      <w:r w:rsidRPr="00F533D6">
        <w:rPr>
          <w:rFonts w:ascii="Arial" w:hAnsi="Arial" w:cs="Arial"/>
        </w:rPr>
        <w:t>Rozsah:</w:t>
      </w:r>
    </w:p>
    <w:p w14:paraId="3EB5ED72" w14:textId="6C3E7C7A" w:rsidR="00F533D6" w:rsidRPr="00C4401E" w:rsidRDefault="00F533D6" w:rsidP="00C4401E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C4401E">
        <w:rPr>
          <w:rFonts w:ascii="Arial" w:hAnsi="Arial" w:cs="Arial"/>
        </w:rPr>
        <w:t>Konzultace se zástupci objednatele.</w:t>
      </w:r>
    </w:p>
    <w:p w14:paraId="6462F7B1" w14:textId="245C00D2" w:rsidR="00F533D6" w:rsidRPr="00C4401E" w:rsidRDefault="00F533D6" w:rsidP="00C4401E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C4401E">
        <w:rPr>
          <w:rFonts w:ascii="Arial" w:hAnsi="Arial" w:cs="Arial"/>
        </w:rPr>
        <w:t>Analýza předaných podkladových dat DTM (dále také jako „Podkladová data“) (např.: mračna bodů, geodetické zaměření, body, linie, polygony) vzorového úseku v délce 500</w:t>
      </w:r>
      <w:r w:rsidR="009B51DB">
        <w:rPr>
          <w:rFonts w:ascii="Arial" w:hAnsi="Arial" w:cs="Arial"/>
        </w:rPr>
        <w:t xml:space="preserve"> </w:t>
      </w:r>
      <w:r w:rsidRPr="00C4401E">
        <w:rPr>
          <w:rFonts w:ascii="Arial" w:hAnsi="Arial" w:cs="Arial"/>
        </w:rPr>
        <w:t>m.</w:t>
      </w:r>
    </w:p>
    <w:p w14:paraId="43C533DE" w14:textId="6F2C25A8" w:rsidR="00F533D6" w:rsidRPr="00C4401E" w:rsidRDefault="00F533D6" w:rsidP="00C4401E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C4401E">
        <w:rPr>
          <w:rFonts w:ascii="Arial" w:hAnsi="Arial" w:cs="Arial"/>
        </w:rPr>
        <w:t>Návrh datové struktury pro účely správy a údržby.</w:t>
      </w:r>
    </w:p>
    <w:p w14:paraId="7F639B12" w14:textId="08C0D458" w:rsidR="00F533D6" w:rsidRPr="00C4401E" w:rsidRDefault="00F533D6" w:rsidP="00C4401E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C4401E">
        <w:rPr>
          <w:rFonts w:ascii="Arial" w:hAnsi="Arial" w:cs="Arial"/>
        </w:rPr>
        <w:t>Extrakce datových objektů z podkladových dat (body, linie, polygony, plochy, 3D tělesa).</w:t>
      </w:r>
    </w:p>
    <w:p w14:paraId="2B40F00F" w14:textId="2773A87A" w:rsidR="00F533D6" w:rsidRPr="00C4401E" w:rsidRDefault="00F533D6" w:rsidP="00C4401E">
      <w:pPr>
        <w:pStyle w:val="Odstavecseseznamem"/>
        <w:numPr>
          <w:ilvl w:val="0"/>
          <w:numId w:val="26"/>
        </w:numPr>
        <w:rPr>
          <w:rFonts w:ascii="Arial" w:hAnsi="Arial" w:cs="Arial"/>
        </w:rPr>
      </w:pPr>
      <w:r w:rsidRPr="00C4401E">
        <w:rPr>
          <w:rFonts w:ascii="Arial" w:hAnsi="Arial" w:cs="Arial"/>
        </w:rPr>
        <w:t>Vytvoření digitálních modelů stávající infrastruktury (tj. zatřídění datových objektů a přiřazení negrafických informací.)</w:t>
      </w:r>
    </w:p>
    <w:p w14:paraId="33552E80" w14:textId="65E5B1AD" w:rsidR="00F533D6" w:rsidRDefault="00F533D6" w:rsidP="00F533D6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5838DD65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9B51DB">
        <w:rPr>
          <w:rFonts w:ascii="Arial" w:hAnsi="Arial" w:cs="Arial"/>
          <w:bCs/>
          <w:iCs/>
        </w:rPr>
        <w:t>12</w:t>
      </w:r>
      <w:r w:rsidR="003D02D2">
        <w:rPr>
          <w:rFonts w:ascii="Arial" w:hAnsi="Arial" w:cs="Arial"/>
          <w:bCs/>
          <w:iCs/>
        </w:rPr>
        <w:t xml:space="preserve"> měsíců.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74723390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9B51DB">
        <w:rPr>
          <w:rFonts w:ascii="Arial" w:hAnsi="Arial" w:cs="Arial"/>
          <w:bCs/>
          <w:iCs/>
        </w:rPr>
        <w:t>Pardubický kraj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0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0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</w:t>
      </w:r>
      <w:r w:rsidRPr="000E2439">
        <w:rPr>
          <w:b w:val="0"/>
          <w:i w:val="0"/>
          <w:sz w:val="24"/>
          <w:szCs w:val="24"/>
        </w:rPr>
        <w:lastRenderedPageBreak/>
        <w:t xml:space="preserve">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1D8A11EC" w:rsidR="00EA182C" w:rsidRPr="00FD5190" w:rsidRDefault="00A92D41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40953E3E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A92D41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8B0C6D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410CBC61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25477274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Pr="00166F5E">
        <w:rPr>
          <w:rFonts w:ascii="Arial" w:hAnsi="Arial" w:cs="Arial"/>
          <w:noProof/>
          <w:sz w:val="24"/>
          <w:szCs w:val="24"/>
        </w:rPr>
        <w:lastRenderedPageBreak/>
        <w:t xml:space="preserve">zadávacích podmínkách nebo v průběhu </w:t>
      </w:r>
      <w:r w:rsidR="008B0C6D">
        <w:rPr>
          <w:rFonts w:ascii="Arial" w:hAnsi="Arial" w:cs="Arial"/>
          <w:noProof/>
          <w:sz w:val="24"/>
          <w:szCs w:val="24"/>
        </w:rPr>
        <w:t>poptávkového ří</w:t>
      </w:r>
      <w:r w:rsidRPr="00166F5E">
        <w:rPr>
          <w:rFonts w:ascii="Arial" w:hAnsi="Arial" w:cs="Arial"/>
          <w:noProof/>
          <w:sz w:val="24"/>
          <w:szCs w:val="24"/>
        </w:rPr>
        <w:t>zení jinak.</w:t>
      </w:r>
    </w:p>
    <w:p w14:paraId="2CA2E949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8B0C6D">
          <w:rPr>
            <w:rStyle w:val="Siln"/>
            <w:rFonts w:ascii="Arial" w:hAnsi="Arial" w:cs="Arial"/>
            <w:b/>
            <w:bCs/>
            <w:sz w:val="24"/>
            <w:szCs w:val="24"/>
          </w:rPr>
          <w:t>https://ezak.suspk.cz</w:t>
        </w:r>
      </w:hyperlink>
      <w:r w:rsidRPr="008B0C6D">
        <w:rPr>
          <w:rStyle w:val="Siln"/>
          <w:rFonts w:ascii="Arial" w:hAnsi="Arial" w:cs="Arial"/>
          <w:b/>
          <w:bCs/>
          <w:sz w:val="24"/>
          <w:szCs w:val="24"/>
        </w:rPr>
        <w:t xml:space="preserve">. </w:t>
      </w:r>
    </w:p>
    <w:p w14:paraId="00DC671F" w14:textId="6081A22C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1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A92D41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1129EFE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8B0C6D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1"/>
    </w:p>
    <w:p w14:paraId="3F84DD98" w14:textId="3340340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8B0C6D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</w:t>
      </w:r>
      <w:r w:rsidR="008B0C6D">
        <w:rPr>
          <w:rFonts w:ascii="Arial" w:hAnsi="Arial" w:cs="Arial"/>
          <w:noProof/>
          <w:sz w:val="24"/>
          <w:szCs w:val="24"/>
        </w:rPr>
        <w:t>4</w:t>
      </w:r>
      <w:r w:rsidRPr="00166F5E">
        <w:rPr>
          <w:rFonts w:ascii="Arial" w:hAnsi="Arial" w:cs="Arial"/>
          <w:noProof/>
          <w:sz w:val="24"/>
          <w:szCs w:val="24"/>
        </w:rPr>
        <w:t xml:space="preserve"> – závazný návrh Smlouvy o </w:t>
      </w:r>
      <w:r w:rsidR="000A71D0">
        <w:rPr>
          <w:rFonts w:ascii="Arial" w:hAnsi="Arial" w:cs="Arial"/>
          <w:noProof/>
          <w:sz w:val="24"/>
          <w:szCs w:val="24"/>
        </w:rPr>
        <w:t>poskytování služeb</w:t>
      </w:r>
      <w:r w:rsidR="008B0C6D">
        <w:rPr>
          <w:rFonts w:ascii="Arial" w:hAnsi="Arial" w:cs="Arial"/>
          <w:noProof/>
          <w:sz w:val="24"/>
          <w:szCs w:val="24"/>
        </w:rPr>
        <w:t>, Příloha č. 5 – soupis služeb k ocenění</w:t>
      </w:r>
      <w:r w:rsidR="000A71D0">
        <w:rPr>
          <w:rFonts w:ascii="Arial" w:hAnsi="Arial" w:cs="Arial"/>
          <w:noProof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4802EEF9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A92D41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A92D41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 w:rsidR="00A92D41"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2" w:name="_Základní_kvalifikační_předpoklady"/>
      <w:bookmarkEnd w:id="2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5C311D50" w:rsidR="000A71D0" w:rsidRDefault="000A71D0" w:rsidP="000A71D0"/>
    <w:p w14:paraId="633E6598" w14:textId="6BCC68C2" w:rsidR="009B51DB" w:rsidRDefault="009B51DB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lastRenderedPageBreak/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42B43354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(živnostenský list či výpis z živnostenského rejstříku);</w:t>
      </w:r>
    </w:p>
    <w:p w14:paraId="34333A2B" w14:textId="637CB838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1EEE37D9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A92D41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1ABD3AAA" w14:textId="6799A27E" w:rsidR="00A92D41" w:rsidRPr="00281157" w:rsidRDefault="00A92D41" w:rsidP="00A92D41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>10. února</w:t>
      </w:r>
      <w:r w:rsidRPr="00281157">
        <w:rPr>
          <w:i w:val="0"/>
          <w:iCs w:val="0"/>
          <w:sz w:val="24"/>
          <w:szCs w:val="24"/>
        </w:rPr>
        <w:t xml:space="preserve"> 202</w:t>
      </w:r>
      <w:r>
        <w:rPr>
          <w:i w:val="0"/>
          <w:iCs w:val="0"/>
          <w:sz w:val="24"/>
          <w:szCs w:val="24"/>
        </w:rPr>
        <w:t>3</w:t>
      </w:r>
      <w:r w:rsidRPr="00281157">
        <w:rPr>
          <w:i w:val="0"/>
          <w:iCs w:val="0"/>
          <w:noProof/>
          <w:sz w:val="24"/>
          <w:szCs w:val="24"/>
        </w:rPr>
        <w:t xml:space="preserve"> do </w:t>
      </w:r>
      <w:r>
        <w:rPr>
          <w:i w:val="0"/>
          <w:iCs w:val="0"/>
          <w:noProof/>
          <w:sz w:val="24"/>
          <w:szCs w:val="24"/>
        </w:rPr>
        <w:t>8</w:t>
      </w:r>
      <w:r w:rsidRPr="00281157">
        <w:rPr>
          <w:i w:val="0"/>
          <w:iCs w:val="0"/>
          <w:sz w:val="24"/>
          <w:szCs w:val="24"/>
        </w:rPr>
        <w:t>:00</w:t>
      </w:r>
      <w:r w:rsidRPr="00281157">
        <w:rPr>
          <w:i w:val="0"/>
          <w:iCs w:val="0"/>
          <w:noProof/>
          <w:sz w:val="24"/>
          <w:szCs w:val="24"/>
        </w:rPr>
        <w:t xml:space="preserve"> hodin,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Pr="00281157">
        <w:rPr>
          <w:i w:val="0"/>
          <w:iCs w:val="0"/>
          <w:noProof/>
          <w:sz w:val="24"/>
          <w:szCs w:val="24"/>
        </w:rPr>
        <w:t>https://ezak.suspk.cz/vz00000</w:t>
      </w:r>
      <w:r>
        <w:rPr>
          <w:i w:val="0"/>
          <w:iCs w:val="0"/>
          <w:noProof/>
          <w:sz w:val="24"/>
          <w:szCs w:val="24"/>
        </w:rPr>
        <w:t>98</w:t>
      </w:r>
      <w:r>
        <w:rPr>
          <w:i w:val="0"/>
          <w:iCs w:val="0"/>
          <w:noProof/>
          <w:sz w:val="24"/>
          <w:szCs w:val="24"/>
        </w:rPr>
        <w:t>3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3D89FF02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A92D41">
        <w:rPr>
          <w:rFonts w:ascii="Arial" w:hAnsi="Arial" w:cs="Arial"/>
          <w:b/>
          <w:u w:val="single"/>
        </w:rPr>
        <w:t xml:space="preserve"> (vč. formátu Word)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595165EC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A92D41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36FF6470" w14:textId="77777777" w:rsidR="00A92D41" w:rsidRDefault="00A92D41" w:rsidP="00EA182C">
      <w:pPr>
        <w:rPr>
          <w:rFonts w:ascii="Arial" w:hAnsi="Arial" w:cs="Arial"/>
          <w:b/>
          <w:u w:val="single"/>
        </w:rPr>
      </w:pPr>
    </w:p>
    <w:p w14:paraId="2F7DD027" w14:textId="22BFE6A1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A92D41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1E71DBB5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A92D41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4119C1F2" w:rsidR="0043678B" w:rsidRDefault="0043678B" w:rsidP="002E634D">
      <w:pPr>
        <w:jc w:val="both"/>
        <w:rPr>
          <w:rFonts w:ascii="Arial" w:hAnsi="Arial" w:cs="Arial"/>
          <w:iCs/>
        </w:rPr>
      </w:pPr>
    </w:p>
    <w:p w14:paraId="143237FC" w14:textId="77777777" w:rsidR="008B0C6D" w:rsidRDefault="008B0C6D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2CD5C55F" w:rsidR="006D5C7C" w:rsidRDefault="006D5C7C" w:rsidP="002E634D">
      <w:pPr>
        <w:jc w:val="both"/>
        <w:rPr>
          <w:rFonts w:ascii="Arial" w:hAnsi="Arial" w:cs="Arial"/>
          <w:iCs/>
        </w:rPr>
      </w:pPr>
    </w:p>
    <w:p w14:paraId="20019CA3" w14:textId="317B2849" w:rsidR="00C4401E" w:rsidRDefault="00C4401E" w:rsidP="002E634D">
      <w:pPr>
        <w:jc w:val="both"/>
        <w:rPr>
          <w:rFonts w:ascii="Arial" w:hAnsi="Arial" w:cs="Arial"/>
          <w:iCs/>
        </w:rPr>
      </w:pPr>
    </w:p>
    <w:p w14:paraId="5CC53B47" w14:textId="15800CEE" w:rsidR="000B14FD" w:rsidRDefault="000B14FD" w:rsidP="002E634D">
      <w:pPr>
        <w:jc w:val="both"/>
        <w:rPr>
          <w:rFonts w:ascii="Arial" w:hAnsi="Arial" w:cs="Arial"/>
          <w:iCs/>
        </w:rPr>
      </w:pPr>
    </w:p>
    <w:p w14:paraId="6C7CBCC8" w14:textId="086338F3" w:rsidR="000B14FD" w:rsidRDefault="000B14FD" w:rsidP="002E634D">
      <w:pPr>
        <w:jc w:val="both"/>
        <w:rPr>
          <w:rFonts w:ascii="Arial" w:hAnsi="Arial" w:cs="Arial"/>
          <w:iCs/>
        </w:rPr>
      </w:pPr>
    </w:p>
    <w:p w14:paraId="618C7228" w14:textId="640444FE" w:rsidR="000B14FD" w:rsidRDefault="000B14FD" w:rsidP="002E634D">
      <w:pPr>
        <w:jc w:val="both"/>
        <w:rPr>
          <w:rFonts w:ascii="Arial" w:hAnsi="Arial" w:cs="Arial"/>
          <w:iCs/>
        </w:rPr>
      </w:pPr>
    </w:p>
    <w:p w14:paraId="12D7A3A9" w14:textId="77777777" w:rsidR="000B14FD" w:rsidRDefault="000B14FD" w:rsidP="002E634D">
      <w:pPr>
        <w:jc w:val="both"/>
        <w:rPr>
          <w:rFonts w:ascii="Arial" w:hAnsi="Arial" w:cs="Arial"/>
          <w:iCs/>
        </w:rPr>
      </w:pPr>
    </w:p>
    <w:p w14:paraId="347F3E2D" w14:textId="10810384" w:rsidR="00C4401E" w:rsidRDefault="00C4401E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2130218A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6C0B75">
        <w:rPr>
          <w:rFonts w:ascii="Arial" w:hAnsi="Arial" w:cs="Arial"/>
          <w:b/>
          <w:bCs/>
          <w:color w:val="000000"/>
        </w:rPr>
        <w:t xml:space="preserve">Zpracování dat pro účely správy a údržby majetku z digitální technické </w:t>
      </w:r>
      <w:proofErr w:type="gramStart"/>
      <w:r w:rsidR="006C0B75">
        <w:rPr>
          <w:rFonts w:ascii="Arial" w:hAnsi="Arial" w:cs="Arial"/>
          <w:b/>
          <w:bCs/>
          <w:color w:val="000000"/>
        </w:rPr>
        <w:t>mapy - Modernizace</w:t>
      </w:r>
      <w:proofErr w:type="gramEnd"/>
      <w:r w:rsidR="006C0B75">
        <w:rPr>
          <w:rFonts w:ascii="Arial" w:hAnsi="Arial" w:cs="Arial"/>
          <w:b/>
          <w:bCs/>
          <w:color w:val="000000"/>
        </w:rPr>
        <w:t xml:space="preserve"> silnice II/360 Ústí nad Orlicí - Litomyšl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2BC31AF3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6C0B75">
        <w:rPr>
          <w:rFonts w:ascii="Arial" w:hAnsi="Arial" w:cs="Arial"/>
          <w:b/>
          <w:bCs/>
          <w:color w:val="000000"/>
        </w:rPr>
        <w:t>Zpracování dat pro účely správy a údržby majetku z digitální technické mapy - Modernizace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A92D41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5390933E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6C0B75">
        <w:rPr>
          <w:rFonts w:ascii="Arial" w:hAnsi="Arial" w:cs="Arial"/>
          <w:b/>
          <w:bCs/>
          <w:color w:val="000000"/>
        </w:rPr>
        <w:t xml:space="preserve">Zpracování dat pro účely správy a údržby majetku z digitální technické </w:t>
      </w:r>
      <w:proofErr w:type="gramStart"/>
      <w:r w:rsidR="006C0B75">
        <w:rPr>
          <w:rFonts w:ascii="Arial" w:hAnsi="Arial" w:cs="Arial"/>
          <w:b/>
          <w:bCs/>
          <w:color w:val="000000"/>
        </w:rPr>
        <w:t>mapy - Modernizace</w:t>
      </w:r>
      <w:proofErr w:type="gramEnd"/>
      <w:r w:rsidR="006C0B75">
        <w:rPr>
          <w:rFonts w:ascii="Arial" w:hAnsi="Arial" w:cs="Arial"/>
          <w:b/>
          <w:bCs/>
          <w:color w:val="000000"/>
        </w:rPr>
        <w:t xml:space="preserve">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05BB80F7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6C0B75">
        <w:rPr>
          <w:rFonts w:ascii="Arial" w:hAnsi="Arial" w:cs="Arial"/>
          <w:b/>
          <w:bCs/>
          <w:color w:val="000000"/>
        </w:rPr>
        <w:t xml:space="preserve">Zpracování dat pro účely správy a údržby majetku z digitální technické </w:t>
      </w:r>
      <w:proofErr w:type="gramStart"/>
      <w:r w:rsidR="006C0B75">
        <w:rPr>
          <w:rFonts w:ascii="Arial" w:hAnsi="Arial" w:cs="Arial"/>
          <w:b/>
          <w:bCs/>
          <w:color w:val="000000"/>
        </w:rPr>
        <w:t>mapy - Modernizace</w:t>
      </w:r>
      <w:proofErr w:type="gramEnd"/>
      <w:r w:rsidR="006C0B75">
        <w:rPr>
          <w:rFonts w:ascii="Arial" w:hAnsi="Arial" w:cs="Arial"/>
          <w:b/>
          <w:bCs/>
          <w:color w:val="000000"/>
        </w:rPr>
        <w:t xml:space="preserve"> silnice II/360 Ústí nad Orlicí - Litomyšl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D3306" w14:textId="77777777" w:rsidR="00882C4B" w:rsidRDefault="00882C4B">
      <w:r>
        <w:separator/>
      </w:r>
    </w:p>
  </w:endnote>
  <w:endnote w:type="continuationSeparator" w:id="0">
    <w:p w14:paraId="35C22465" w14:textId="77777777" w:rsidR="00882C4B" w:rsidRDefault="0088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882C4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69CE8" w14:textId="77777777" w:rsidR="00882C4B" w:rsidRDefault="00882C4B">
      <w:r>
        <w:separator/>
      </w:r>
    </w:p>
  </w:footnote>
  <w:footnote w:type="continuationSeparator" w:id="0">
    <w:p w14:paraId="6485DED4" w14:textId="77777777" w:rsidR="00882C4B" w:rsidRDefault="0088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6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13"/>
  </w:num>
  <w:num w:numId="6">
    <w:abstractNumId w:val="17"/>
  </w:num>
  <w:num w:numId="7">
    <w:abstractNumId w:val="21"/>
  </w:num>
  <w:num w:numId="8">
    <w:abstractNumId w:val="20"/>
  </w:num>
  <w:num w:numId="9">
    <w:abstractNumId w:val="24"/>
  </w:num>
  <w:num w:numId="10">
    <w:abstractNumId w:val="3"/>
  </w:num>
  <w:num w:numId="11">
    <w:abstractNumId w:val="4"/>
  </w:num>
  <w:num w:numId="12">
    <w:abstractNumId w:val="22"/>
  </w:num>
  <w:num w:numId="13">
    <w:abstractNumId w:val="6"/>
  </w:num>
  <w:num w:numId="14">
    <w:abstractNumId w:val="2"/>
  </w:num>
  <w:num w:numId="15">
    <w:abstractNumId w:val="23"/>
  </w:num>
  <w:num w:numId="16">
    <w:abstractNumId w:val="11"/>
  </w:num>
  <w:num w:numId="17">
    <w:abstractNumId w:val="1"/>
  </w:num>
  <w:num w:numId="18">
    <w:abstractNumId w:val="7"/>
  </w:num>
  <w:num w:numId="19">
    <w:abstractNumId w:val="8"/>
  </w:num>
  <w:num w:numId="20">
    <w:abstractNumId w:val="15"/>
  </w:num>
  <w:num w:numId="21">
    <w:abstractNumId w:val="5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0"/>
  </w:num>
  <w:num w:numId="25">
    <w:abstractNumId w:val="1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46E6F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5FFC"/>
    <w:rsid w:val="000E0650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30674"/>
    <w:rsid w:val="002A2211"/>
    <w:rsid w:val="002D065C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43678B"/>
    <w:rsid w:val="00440FE6"/>
    <w:rsid w:val="0047347F"/>
    <w:rsid w:val="00480721"/>
    <w:rsid w:val="0048744F"/>
    <w:rsid w:val="004971CE"/>
    <w:rsid w:val="004A2602"/>
    <w:rsid w:val="004A3CBB"/>
    <w:rsid w:val="004E0C33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B6A51"/>
    <w:rsid w:val="005D33E0"/>
    <w:rsid w:val="005E3E0F"/>
    <w:rsid w:val="00613118"/>
    <w:rsid w:val="00623F3B"/>
    <w:rsid w:val="006464A5"/>
    <w:rsid w:val="00647977"/>
    <w:rsid w:val="006518CB"/>
    <w:rsid w:val="00653071"/>
    <w:rsid w:val="00653D8D"/>
    <w:rsid w:val="006C0B75"/>
    <w:rsid w:val="006C35AD"/>
    <w:rsid w:val="006D5C7C"/>
    <w:rsid w:val="006E4244"/>
    <w:rsid w:val="007021BC"/>
    <w:rsid w:val="0073640F"/>
    <w:rsid w:val="00737DB9"/>
    <w:rsid w:val="007421B9"/>
    <w:rsid w:val="0078169D"/>
    <w:rsid w:val="007C43B2"/>
    <w:rsid w:val="00816C35"/>
    <w:rsid w:val="008714E0"/>
    <w:rsid w:val="00872E37"/>
    <w:rsid w:val="00876B7A"/>
    <w:rsid w:val="00876CBF"/>
    <w:rsid w:val="00882C4B"/>
    <w:rsid w:val="00890D20"/>
    <w:rsid w:val="008915E5"/>
    <w:rsid w:val="008A6095"/>
    <w:rsid w:val="008B0C6D"/>
    <w:rsid w:val="008C49F4"/>
    <w:rsid w:val="008F4C17"/>
    <w:rsid w:val="00905DDF"/>
    <w:rsid w:val="00910442"/>
    <w:rsid w:val="0093466B"/>
    <w:rsid w:val="00984B39"/>
    <w:rsid w:val="009A54E5"/>
    <w:rsid w:val="009B51DB"/>
    <w:rsid w:val="00A053EF"/>
    <w:rsid w:val="00A36994"/>
    <w:rsid w:val="00A453DC"/>
    <w:rsid w:val="00A56AD5"/>
    <w:rsid w:val="00A831EE"/>
    <w:rsid w:val="00A92D41"/>
    <w:rsid w:val="00AD7777"/>
    <w:rsid w:val="00AE4DE3"/>
    <w:rsid w:val="00B30DEC"/>
    <w:rsid w:val="00B4459A"/>
    <w:rsid w:val="00B6619C"/>
    <w:rsid w:val="00B777A2"/>
    <w:rsid w:val="00B851EF"/>
    <w:rsid w:val="00B87675"/>
    <w:rsid w:val="00BB2D94"/>
    <w:rsid w:val="00BB6833"/>
    <w:rsid w:val="00C26C25"/>
    <w:rsid w:val="00C375F6"/>
    <w:rsid w:val="00C4401E"/>
    <w:rsid w:val="00C60404"/>
    <w:rsid w:val="00C7344D"/>
    <w:rsid w:val="00C84E90"/>
    <w:rsid w:val="00C93B08"/>
    <w:rsid w:val="00CD7776"/>
    <w:rsid w:val="00CE15B2"/>
    <w:rsid w:val="00D25EBC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2248</Words>
  <Characters>13266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2023-01-30T07:25:00Z</dcterms:created>
  <dcterms:modified xsi:type="dcterms:W3CDTF">2023-01-30T07:25:00Z</dcterms:modified>
</cp:coreProperties>
</file>